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835DC8" w:rsidP="00835DC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7</w:t>
      </w:r>
    </w:p>
    <w:p w:rsidR="00835DC8" w:rsidRPr="00E85322" w:rsidRDefault="00835DC8" w:rsidP="00835DC8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E85322">
        <w:rPr>
          <w:rFonts w:ascii="Arial" w:hAnsi="Arial" w:cs="Arial"/>
          <w:color w:val="000000"/>
          <w:lang w:val="es-ES"/>
        </w:rPr>
        <w:t>Convocatoria 06-201</w:t>
      </w:r>
      <w:r w:rsidR="005905A4">
        <w:rPr>
          <w:rFonts w:ascii="Arial" w:hAnsi="Arial" w:cs="Arial"/>
          <w:color w:val="000000"/>
          <w:lang w:val="es-ES"/>
        </w:rPr>
        <w:t>6</w:t>
      </w:r>
      <w:r w:rsidRPr="00E85322">
        <w:rPr>
          <w:rFonts w:ascii="Arial" w:hAnsi="Arial" w:cs="Arial"/>
          <w:color w:val="000000"/>
          <w:lang w:val="es-ES"/>
        </w:rPr>
        <w:t xml:space="preserve">. </w:t>
      </w:r>
      <w:r w:rsidRPr="00E85322">
        <w:rPr>
          <w:rFonts w:ascii="Arial" w:hAnsi="Arial" w:cs="Arial"/>
          <w:color w:val="000000"/>
        </w:rPr>
        <w:t>Jóvenes Investigadores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>de plan del joven investigador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8E0B2D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8E0B2D">
        <w:rPr>
          <w:rFonts w:ascii="Arial" w:hAnsi="Arial" w:cs="Arial"/>
          <w:szCs w:val="24"/>
        </w:rPr>
        <w:t>, cuando corresponda,</w:t>
      </w:r>
      <w:r w:rsidR="008E0B2D" w:rsidRPr="00B1294E">
        <w:rPr>
          <w:rFonts w:ascii="Arial" w:hAnsi="Arial" w:cs="Arial"/>
          <w:szCs w:val="24"/>
        </w:rPr>
        <w:t xml:space="preserve"> </w:t>
      </w:r>
      <w:r w:rsidRPr="00B1294E">
        <w:rPr>
          <w:rFonts w:ascii="Arial" w:hAnsi="Arial" w:cs="Arial"/>
          <w:szCs w:val="24"/>
        </w:rPr>
        <w:t>el enfoque metodológico específico elegido</w:t>
      </w:r>
      <w:r w:rsidR="00F85424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>. ARTICULACIÓN CON EL PROYECTO DE INVESTIGACIÓN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122F75" w:rsidRPr="00BE38D1" w:rsidRDefault="00122F75" w:rsidP="00122F7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>cómo está articulado el plan de trabajo</w:t>
      </w:r>
      <w:r w:rsidR="001F679C" w:rsidRPr="001F679C">
        <w:rPr>
          <w:rFonts w:ascii="Arial" w:hAnsi="Arial" w:cs="Arial"/>
          <w:szCs w:val="24"/>
        </w:rPr>
        <w:t xml:space="preserve"> con el proyecto de investigación </w:t>
      </w:r>
      <w:r w:rsidR="001F679C">
        <w:rPr>
          <w:rFonts w:ascii="Arial" w:hAnsi="Arial" w:cs="Arial"/>
          <w:szCs w:val="24"/>
        </w:rPr>
        <w:t xml:space="preserve">presentado a la convocatoria, </w:t>
      </w:r>
      <w:r w:rsidR="001F679C" w:rsidRPr="001F679C">
        <w:rPr>
          <w:rFonts w:ascii="Arial" w:hAnsi="Arial" w:cs="Arial"/>
          <w:szCs w:val="24"/>
        </w:rPr>
        <w:t xml:space="preserve">y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1F679C">
        <w:rPr>
          <w:rFonts w:ascii="Arial" w:hAnsi="Arial" w:cs="Arial"/>
          <w:szCs w:val="24"/>
        </w:rPr>
        <w:t>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 xml:space="preserve">desarrollan son lugares de participación </w:t>
      </w:r>
      <w:r w:rsidRPr="0044151E">
        <w:rPr>
          <w:rFonts w:ascii="Arial" w:hAnsi="Arial" w:cs="Arial"/>
          <w:szCs w:val="24"/>
        </w:rPr>
        <w:lastRenderedPageBreak/>
        <w:t>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</w:t>
      </w:r>
      <w:r w:rsidRPr="00164E81">
        <w:rPr>
          <w:rFonts w:ascii="Arial" w:hAnsi="Arial" w:cs="Arial"/>
          <w:szCs w:val="24"/>
        </w:rPr>
        <w:lastRenderedPageBreak/>
        <w:t xml:space="preserve">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46" w:rsidRDefault="004C6746" w:rsidP="009E2BD6">
      <w:r>
        <w:separator/>
      </w:r>
    </w:p>
  </w:endnote>
  <w:endnote w:type="continuationSeparator" w:id="0">
    <w:p w:rsidR="004C6746" w:rsidRDefault="004C6746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46" w:rsidRDefault="004C6746" w:rsidP="009E2BD6">
      <w:r>
        <w:separator/>
      </w:r>
    </w:p>
  </w:footnote>
  <w:footnote w:type="continuationSeparator" w:id="0">
    <w:p w:rsidR="004C6746" w:rsidRDefault="004C6746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75806"/>
    <w:rsid w:val="003C36C6"/>
    <w:rsid w:val="00441582"/>
    <w:rsid w:val="004B5602"/>
    <w:rsid w:val="004C6746"/>
    <w:rsid w:val="004F5287"/>
    <w:rsid w:val="005051E4"/>
    <w:rsid w:val="005905A4"/>
    <w:rsid w:val="00594299"/>
    <w:rsid w:val="00664FB1"/>
    <w:rsid w:val="00677CDB"/>
    <w:rsid w:val="006A16A0"/>
    <w:rsid w:val="006B5B5F"/>
    <w:rsid w:val="006E77BA"/>
    <w:rsid w:val="00715AED"/>
    <w:rsid w:val="00716906"/>
    <w:rsid w:val="00804A10"/>
    <w:rsid w:val="00835DC8"/>
    <w:rsid w:val="00867A72"/>
    <w:rsid w:val="00881560"/>
    <w:rsid w:val="008D1F41"/>
    <w:rsid w:val="008E0B2D"/>
    <w:rsid w:val="008E4A6B"/>
    <w:rsid w:val="00950869"/>
    <w:rsid w:val="00995B2B"/>
    <w:rsid w:val="009C2FF5"/>
    <w:rsid w:val="009E2BD6"/>
    <w:rsid w:val="00A630E1"/>
    <w:rsid w:val="00AC2565"/>
    <w:rsid w:val="00B50590"/>
    <w:rsid w:val="00B51221"/>
    <w:rsid w:val="00B94ED9"/>
    <w:rsid w:val="00BB19F5"/>
    <w:rsid w:val="00C21EBE"/>
    <w:rsid w:val="00D1421D"/>
    <w:rsid w:val="00D17719"/>
    <w:rsid w:val="00DB3F80"/>
    <w:rsid w:val="00E34C97"/>
    <w:rsid w:val="00E60E9E"/>
    <w:rsid w:val="00E61FE3"/>
    <w:rsid w:val="00F8542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C586-D9DF-4E03-837F-17746C22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1738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del joven investigador</dc:title>
  <dc:creator>Álvaro Rendón</dc:creator>
  <cp:lastModifiedBy>ARendon</cp:lastModifiedBy>
  <cp:revision>26</cp:revision>
  <dcterms:created xsi:type="dcterms:W3CDTF">2014-09-16T20:09:00Z</dcterms:created>
  <dcterms:modified xsi:type="dcterms:W3CDTF">2015-11-13T21:10:00Z</dcterms:modified>
</cp:coreProperties>
</file>