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BF" w:rsidRPr="001B6D56" w:rsidRDefault="00A833BF" w:rsidP="00A833BF">
      <w:pPr>
        <w:rPr>
          <w:rFonts w:ascii="Cambria" w:hAnsi="Cambria" w:cs="Tahoma"/>
          <w:b/>
        </w:rPr>
      </w:pPr>
      <w:r>
        <w:rPr>
          <w:rFonts w:ascii="Cambria" w:hAnsi="Cambria"/>
          <w:i/>
          <w:noProof/>
          <w:sz w:val="22"/>
          <w:szCs w:val="22"/>
        </w:rPr>
        <w:drawing>
          <wp:inline distT="0" distB="0" distL="0" distR="0">
            <wp:extent cx="885825" cy="923925"/>
            <wp:effectExtent l="19050" t="0" r="9525" b="0"/>
            <wp:docPr id="1" name="Imagen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titled"/>
                    <pic:cNvPicPr>
                      <a:picLocks noChangeAspect="1" noChangeArrowheads="1"/>
                    </pic:cNvPicPr>
                  </pic:nvPicPr>
                  <pic:blipFill>
                    <a:blip r:embed="rId5"/>
                    <a:srcRect/>
                    <a:stretch>
                      <a:fillRect/>
                    </a:stretch>
                  </pic:blipFill>
                  <pic:spPr bwMode="auto">
                    <a:xfrm>
                      <a:off x="0" y="0"/>
                      <a:ext cx="885825" cy="923925"/>
                    </a:xfrm>
                    <a:prstGeom prst="rect">
                      <a:avLst/>
                    </a:prstGeom>
                    <a:solidFill>
                      <a:srgbClr val="000000"/>
                    </a:solidFill>
                    <a:ln w="9525">
                      <a:noFill/>
                      <a:miter lim="800000"/>
                      <a:headEnd/>
                      <a:tailEnd/>
                    </a:ln>
                  </pic:spPr>
                </pic:pic>
              </a:graphicData>
            </a:graphic>
          </wp:inline>
        </w:drawing>
      </w:r>
      <w:r w:rsidRPr="00D1078D">
        <w:rPr>
          <w:rFonts w:ascii="Cambria" w:hAnsi="Cambria"/>
          <w:i/>
          <w:sz w:val="22"/>
          <w:szCs w:val="22"/>
        </w:rPr>
        <w:t xml:space="preserve">   </w:t>
      </w:r>
      <w:r w:rsidRPr="00D1078D">
        <w:rPr>
          <w:rFonts w:ascii="Cambria" w:hAnsi="Cambria"/>
          <w:i/>
          <w:sz w:val="22"/>
          <w:szCs w:val="22"/>
        </w:rPr>
        <w:tab/>
      </w:r>
      <w:r w:rsidRPr="00D1078D">
        <w:rPr>
          <w:rFonts w:ascii="Cambria" w:hAnsi="Cambria"/>
          <w:i/>
          <w:sz w:val="22"/>
          <w:szCs w:val="22"/>
        </w:rPr>
        <w:tab/>
      </w:r>
      <w:r w:rsidRPr="00D1078D">
        <w:rPr>
          <w:rFonts w:ascii="Cambria" w:hAnsi="Cambria"/>
          <w:i/>
          <w:sz w:val="22"/>
          <w:szCs w:val="22"/>
        </w:rPr>
        <w:tab/>
        <w:t xml:space="preserve">       </w:t>
      </w:r>
      <w:r>
        <w:rPr>
          <w:rFonts w:ascii="Cambria" w:hAnsi="Cambria"/>
          <w:b/>
          <w:i/>
          <w:sz w:val="28"/>
          <w:szCs w:val="28"/>
        </w:rPr>
        <w:t>Junta de Licitaciones y C</w:t>
      </w:r>
      <w:r w:rsidRPr="00212157">
        <w:rPr>
          <w:rFonts w:ascii="Cambria" w:hAnsi="Cambria"/>
          <w:b/>
          <w:i/>
          <w:sz w:val="28"/>
          <w:szCs w:val="28"/>
        </w:rPr>
        <w:t>ontratos</w:t>
      </w:r>
    </w:p>
    <w:p w:rsidR="00A833BF" w:rsidRPr="001B6D56" w:rsidRDefault="00A833BF" w:rsidP="00A833BF">
      <w:pPr>
        <w:pStyle w:val="Encabezado"/>
        <w:rPr>
          <w:rFonts w:ascii="Cambria" w:hAnsi="Cambria"/>
          <w:i/>
        </w:rPr>
      </w:pPr>
    </w:p>
    <w:p w:rsidR="00AB05C0" w:rsidRDefault="00A833BF" w:rsidP="00A833BF">
      <w:pPr>
        <w:pStyle w:val="Textoindependiente"/>
        <w:rPr>
          <w:rFonts w:ascii="Tahoma" w:hAnsi="Tahoma" w:cs="Tahoma"/>
          <w:b/>
          <w:sz w:val="22"/>
          <w:szCs w:val="22"/>
        </w:rPr>
      </w:pPr>
      <w:r w:rsidRPr="00B416B1">
        <w:rPr>
          <w:rFonts w:ascii="Tahoma" w:hAnsi="Tahoma" w:cs="Tahoma"/>
          <w:b/>
          <w:sz w:val="22"/>
          <w:szCs w:val="22"/>
        </w:rPr>
        <w:t xml:space="preserve">RESPUESTAS A LAS OBSERVACIONES DE LA CONVOCATORIA </w:t>
      </w:r>
      <w:r>
        <w:rPr>
          <w:rFonts w:ascii="Tahoma" w:hAnsi="Tahoma" w:cs="Tahoma"/>
          <w:b/>
          <w:sz w:val="22"/>
          <w:szCs w:val="22"/>
        </w:rPr>
        <w:t>00</w:t>
      </w:r>
      <w:r w:rsidR="00CD1D83">
        <w:rPr>
          <w:rFonts w:ascii="Tahoma" w:hAnsi="Tahoma" w:cs="Tahoma"/>
          <w:b/>
          <w:sz w:val="22"/>
          <w:szCs w:val="22"/>
        </w:rPr>
        <w:t>2</w:t>
      </w:r>
      <w:r w:rsidRPr="00B416B1">
        <w:rPr>
          <w:rFonts w:ascii="Tahoma" w:hAnsi="Tahoma" w:cs="Tahoma"/>
          <w:b/>
          <w:sz w:val="22"/>
          <w:szCs w:val="22"/>
        </w:rPr>
        <w:t xml:space="preserve"> DE 201</w:t>
      </w:r>
      <w:r w:rsidR="00AB05C0">
        <w:rPr>
          <w:rFonts w:ascii="Tahoma" w:hAnsi="Tahoma" w:cs="Tahoma"/>
          <w:b/>
          <w:sz w:val="22"/>
          <w:szCs w:val="22"/>
        </w:rPr>
        <w:t>3:</w:t>
      </w:r>
    </w:p>
    <w:p w:rsidR="00A66216" w:rsidRDefault="00A66216" w:rsidP="00A833BF">
      <w:pPr>
        <w:pStyle w:val="Textoindependiente"/>
        <w:rPr>
          <w:rFonts w:cs="Arial"/>
          <w:b/>
          <w:color w:val="000000"/>
          <w:sz w:val="18"/>
          <w:szCs w:val="18"/>
        </w:rPr>
      </w:pPr>
    </w:p>
    <w:p w:rsidR="00A833BF" w:rsidRPr="00146CD0" w:rsidRDefault="00CD1D83" w:rsidP="00A833BF">
      <w:pPr>
        <w:pStyle w:val="Textoindependiente"/>
        <w:rPr>
          <w:rFonts w:ascii="Tahoma" w:hAnsi="Tahoma" w:cs="Tahoma"/>
          <w:b/>
          <w:bCs/>
          <w:color w:val="000000"/>
          <w:sz w:val="22"/>
          <w:szCs w:val="22"/>
          <w:lang w:val="es-MX"/>
        </w:rPr>
      </w:pPr>
      <w:r w:rsidRPr="00CD1D83">
        <w:rPr>
          <w:rFonts w:cs="Arial"/>
          <w:b/>
          <w:color w:val="000000"/>
          <w:sz w:val="18"/>
          <w:szCs w:val="18"/>
        </w:rPr>
        <w:t>CONTRATAR EL SUMINISTRO DE SERVICIO DE ASEO INTEGRAL EN LAS DIFERENTES DEPENDENCIAS UNIVERSITARIAS UBICADAS EN LAS SEDES DE LA CIUDAD DE POPAYAN Y EN EL MUNICIPIO DE SANTANDER DE QUILICHAO, INCLUYENDO PROTOCOLOS DE RECICLAJE, ASÍ COMO EL SERVICIO DE MENSAJERÍA PARA LA UNIDAD DE SALUD DE LA UNIVERSIDAD DEL CAUCA</w:t>
      </w:r>
      <w:r w:rsidR="00A833BF" w:rsidRPr="00507A01">
        <w:rPr>
          <w:rFonts w:ascii="Tahoma" w:hAnsi="Tahoma" w:cs="Tahoma"/>
          <w:b/>
          <w:color w:val="000000"/>
          <w:sz w:val="22"/>
          <w:szCs w:val="22"/>
        </w:rPr>
        <w:t>.</w:t>
      </w:r>
    </w:p>
    <w:p w:rsidR="00A833BF" w:rsidRPr="00735E46" w:rsidRDefault="00A833BF" w:rsidP="00A833BF">
      <w:pPr>
        <w:jc w:val="both"/>
        <w:rPr>
          <w:rFonts w:ascii="Cambria" w:hAnsi="Cambria" w:cs="Tahoma"/>
          <w:color w:val="000000"/>
          <w:sz w:val="22"/>
          <w:szCs w:val="22"/>
          <w:lang w:val="es-MX"/>
        </w:rPr>
      </w:pPr>
    </w:p>
    <w:p w:rsidR="00A833BF" w:rsidRDefault="00A833BF" w:rsidP="00A833BF">
      <w:pPr>
        <w:jc w:val="both"/>
        <w:rPr>
          <w:rFonts w:ascii="Tahoma" w:hAnsi="Tahoma" w:cs="Tahoma"/>
          <w:b/>
          <w:color w:val="000000"/>
        </w:rPr>
      </w:pPr>
      <w:r>
        <w:rPr>
          <w:rFonts w:ascii="Tahoma" w:hAnsi="Tahoma" w:cs="Tahoma"/>
          <w:b/>
          <w:color w:val="000000"/>
        </w:rPr>
        <w:t>OBSERVACIONES</w:t>
      </w:r>
      <w:r w:rsidRPr="00767641">
        <w:rPr>
          <w:rFonts w:ascii="Tahoma" w:hAnsi="Tahoma" w:cs="Tahoma"/>
          <w:b/>
          <w:color w:val="000000"/>
        </w:rPr>
        <w:t xml:space="preserve"> REALIZADAS POR</w:t>
      </w:r>
      <w:r>
        <w:rPr>
          <w:rFonts w:ascii="Tahoma" w:hAnsi="Tahoma" w:cs="Tahoma"/>
          <w:b/>
          <w:color w:val="000000"/>
        </w:rPr>
        <w:t>:</w:t>
      </w:r>
      <w:r w:rsidRPr="00767641">
        <w:rPr>
          <w:rFonts w:ascii="Tahoma" w:hAnsi="Tahoma" w:cs="Tahoma"/>
          <w:b/>
          <w:color w:val="000000"/>
        </w:rPr>
        <w:t xml:space="preserve"> </w:t>
      </w:r>
      <w:r>
        <w:rPr>
          <w:rFonts w:ascii="Tahoma" w:hAnsi="Tahoma" w:cs="Tahoma"/>
          <w:b/>
          <w:color w:val="000000"/>
          <w:sz w:val="22"/>
          <w:szCs w:val="22"/>
          <w:shd w:val="clear" w:color="auto" w:fill="FFFFFF"/>
        </w:rPr>
        <w:t>ECHEVERRY PEREZ</w:t>
      </w:r>
      <w:r w:rsidRPr="009F1774">
        <w:rPr>
          <w:rFonts w:ascii="Tahoma" w:hAnsi="Tahoma" w:cs="Tahoma"/>
          <w:b/>
          <w:color w:val="000000"/>
          <w:sz w:val="22"/>
          <w:szCs w:val="22"/>
          <w:shd w:val="clear" w:color="auto" w:fill="FFFFFF"/>
        </w:rPr>
        <w:t>.</w:t>
      </w:r>
    </w:p>
    <w:p w:rsidR="00A833BF" w:rsidRPr="00767641" w:rsidRDefault="00A833BF" w:rsidP="00A833BF">
      <w:pPr>
        <w:jc w:val="both"/>
        <w:rPr>
          <w:rFonts w:ascii="Tahoma" w:hAnsi="Tahoma" w:cs="Tahoma"/>
          <w:color w:val="000000"/>
          <w:sz w:val="22"/>
          <w:szCs w:val="22"/>
        </w:rPr>
      </w:pPr>
    </w:p>
    <w:p w:rsidR="00BA7130" w:rsidRPr="00BA7130" w:rsidRDefault="00A833BF" w:rsidP="00BA7130">
      <w:pPr>
        <w:contextualSpacing/>
        <w:jc w:val="both"/>
        <w:rPr>
          <w:rFonts w:ascii="Tahoma" w:hAnsi="Tahoma" w:cs="Tahoma"/>
          <w:i/>
          <w:color w:val="000000"/>
          <w:sz w:val="22"/>
          <w:szCs w:val="22"/>
        </w:rPr>
      </w:pPr>
      <w:r w:rsidRPr="00B416B1">
        <w:rPr>
          <w:rFonts w:ascii="Tahoma" w:hAnsi="Tahoma" w:cs="Tahoma"/>
          <w:b/>
          <w:color w:val="000000"/>
          <w:sz w:val="22"/>
          <w:szCs w:val="22"/>
        </w:rPr>
        <w:t>OBSERVACIÓN:</w:t>
      </w:r>
      <w:r>
        <w:rPr>
          <w:rFonts w:ascii="Tahoma" w:hAnsi="Tahoma" w:cs="Tahoma"/>
          <w:b/>
          <w:color w:val="000000"/>
          <w:sz w:val="22"/>
          <w:szCs w:val="22"/>
        </w:rPr>
        <w:t xml:space="preserve"> </w:t>
      </w:r>
      <w:r w:rsidR="00CD1D83">
        <w:rPr>
          <w:rFonts w:ascii="Tahoma" w:hAnsi="Tahoma" w:cs="Tahoma"/>
          <w:i/>
          <w:color w:val="000000"/>
          <w:sz w:val="22"/>
          <w:szCs w:val="22"/>
        </w:rPr>
        <w:t>“</w:t>
      </w:r>
    </w:p>
    <w:p w:rsidR="001573F5" w:rsidRDefault="001573F5" w:rsidP="00BA7130">
      <w:pPr>
        <w:contextualSpacing/>
        <w:jc w:val="both"/>
        <w:rPr>
          <w:rFonts w:ascii="Tahoma" w:hAnsi="Tahoma" w:cs="Tahoma"/>
          <w:i/>
          <w:color w:val="000000"/>
          <w:sz w:val="22"/>
          <w:szCs w:val="22"/>
        </w:rPr>
      </w:pPr>
    </w:p>
    <w:p w:rsidR="00BA7130" w:rsidRPr="00BA7130" w:rsidRDefault="001573F5" w:rsidP="00BA7130">
      <w:pPr>
        <w:contextualSpacing/>
        <w:jc w:val="both"/>
        <w:rPr>
          <w:rFonts w:ascii="Tahoma" w:hAnsi="Tahoma" w:cs="Tahoma"/>
          <w:i/>
          <w:color w:val="000000"/>
          <w:sz w:val="22"/>
          <w:szCs w:val="22"/>
        </w:rPr>
      </w:pPr>
      <w:r>
        <w:rPr>
          <w:rFonts w:ascii="Tahoma" w:hAnsi="Tahoma" w:cs="Tahoma"/>
          <w:i/>
          <w:color w:val="000000"/>
          <w:sz w:val="22"/>
          <w:szCs w:val="22"/>
        </w:rPr>
        <w:t>Numeral 9.1.2. b)</w:t>
      </w:r>
      <w:r w:rsidR="00BA7130" w:rsidRPr="00BA7130">
        <w:rPr>
          <w:rFonts w:ascii="Tahoma" w:hAnsi="Tahoma" w:cs="Tahoma"/>
          <w:i/>
          <w:color w:val="000000"/>
          <w:sz w:val="22"/>
          <w:szCs w:val="22"/>
        </w:rPr>
        <w:tab/>
        <w:t xml:space="preserve">TIEMPO DE EXPERIENCIA (20 puntos) </w:t>
      </w:r>
    </w:p>
    <w:p w:rsidR="00BA7130" w:rsidRPr="00BA7130" w:rsidRDefault="00BA7130" w:rsidP="00BA7130">
      <w:pPr>
        <w:contextualSpacing/>
        <w:jc w:val="both"/>
        <w:rPr>
          <w:rFonts w:ascii="Tahoma" w:hAnsi="Tahoma" w:cs="Tahoma"/>
          <w:i/>
          <w:color w:val="000000"/>
          <w:sz w:val="22"/>
          <w:szCs w:val="22"/>
        </w:rPr>
      </w:pPr>
    </w:p>
    <w:p w:rsidR="00BA7130" w:rsidRDefault="00BA7130" w:rsidP="00BA7130">
      <w:pPr>
        <w:contextualSpacing/>
        <w:jc w:val="both"/>
        <w:rPr>
          <w:rFonts w:ascii="Tahoma" w:hAnsi="Tahoma" w:cs="Tahoma"/>
          <w:i/>
          <w:color w:val="000000"/>
          <w:sz w:val="22"/>
          <w:szCs w:val="22"/>
        </w:rPr>
      </w:pPr>
      <w:r w:rsidRPr="00BA7130">
        <w:rPr>
          <w:rFonts w:ascii="Tahoma" w:hAnsi="Tahoma" w:cs="Tahoma"/>
          <w:i/>
          <w:color w:val="000000"/>
          <w:sz w:val="22"/>
          <w:szCs w:val="22"/>
        </w:rPr>
        <w:t xml:space="preserve">Se calculará éste factor teniendo en cuenta el tiempo de experiencia de la empresa, el cual se obtendrá contando el tiempo desde la fecha de constitución, hasta la fecha de cierre de la presente convocatoria pública, conforme a la siguiente tabla: </w:t>
      </w:r>
    </w:p>
    <w:p w:rsidR="001573F5" w:rsidRDefault="001573F5" w:rsidP="00BA7130">
      <w:pPr>
        <w:contextualSpacing/>
        <w:jc w:val="both"/>
        <w:rPr>
          <w:rFonts w:ascii="Tahoma" w:hAnsi="Tahoma" w:cs="Tahoma"/>
          <w:i/>
          <w:color w:val="000000"/>
          <w:sz w:val="22"/>
          <w:szCs w:val="22"/>
        </w:rPr>
      </w:pPr>
    </w:p>
    <w:tbl>
      <w:tblPr>
        <w:tblStyle w:val="Tablaconcuadrcula"/>
        <w:tblW w:w="0" w:type="auto"/>
        <w:tblInd w:w="1384" w:type="dxa"/>
        <w:tblLook w:val="04A0"/>
      </w:tblPr>
      <w:tblGrid>
        <w:gridCol w:w="2822"/>
        <w:gridCol w:w="2990"/>
      </w:tblGrid>
      <w:tr w:rsidR="001573F5" w:rsidTr="001573F5">
        <w:tc>
          <w:tcPr>
            <w:tcW w:w="2822" w:type="dxa"/>
          </w:tcPr>
          <w:p w:rsidR="001573F5" w:rsidRDefault="001573F5" w:rsidP="00BA7130">
            <w:pPr>
              <w:contextualSpacing/>
              <w:jc w:val="both"/>
              <w:rPr>
                <w:rFonts w:ascii="Tahoma" w:hAnsi="Tahoma" w:cs="Tahoma"/>
                <w:i/>
                <w:color w:val="000000"/>
              </w:rPr>
            </w:pPr>
            <w:r w:rsidRPr="00BA7130">
              <w:rPr>
                <w:rFonts w:ascii="Tahoma" w:hAnsi="Tahoma" w:cs="Tahoma"/>
                <w:i/>
                <w:color w:val="000000"/>
              </w:rPr>
              <w:t>15 AÑOS  O    MÁS</w:t>
            </w:r>
          </w:p>
        </w:tc>
        <w:tc>
          <w:tcPr>
            <w:tcW w:w="2990" w:type="dxa"/>
          </w:tcPr>
          <w:p w:rsidR="001573F5" w:rsidRDefault="001573F5" w:rsidP="00BA7130">
            <w:pPr>
              <w:contextualSpacing/>
              <w:jc w:val="both"/>
              <w:rPr>
                <w:rFonts w:ascii="Tahoma" w:hAnsi="Tahoma" w:cs="Tahoma"/>
                <w:i/>
                <w:color w:val="000000"/>
              </w:rPr>
            </w:pPr>
            <w:r w:rsidRPr="00BA7130">
              <w:rPr>
                <w:rFonts w:ascii="Tahoma" w:hAnsi="Tahoma" w:cs="Tahoma"/>
                <w:i/>
                <w:color w:val="000000"/>
              </w:rPr>
              <w:t>20 PUNTOS</w:t>
            </w:r>
          </w:p>
        </w:tc>
      </w:tr>
      <w:tr w:rsidR="001573F5" w:rsidTr="001573F5">
        <w:tc>
          <w:tcPr>
            <w:tcW w:w="2822" w:type="dxa"/>
          </w:tcPr>
          <w:p w:rsidR="001573F5" w:rsidRPr="00BA7130" w:rsidRDefault="001573F5" w:rsidP="00BA7130">
            <w:pPr>
              <w:contextualSpacing/>
              <w:jc w:val="both"/>
              <w:rPr>
                <w:rFonts w:ascii="Tahoma" w:hAnsi="Tahoma" w:cs="Tahoma"/>
                <w:i/>
                <w:color w:val="000000"/>
              </w:rPr>
            </w:pPr>
            <w:r w:rsidRPr="00BA7130">
              <w:rPr>
                <w:rFonts w:ascii="Tahoma" w:hAnsi="Tahoma" w:cs="Tahoma"/>
                <w:i/>
                <w:color w:val="000000"/>
              </w:rPr>
              <w:t>&gt; 10 &lt; 15      AÑOS</w:t>
            </w:r>
          </w:p>
        </w:tc>
        <w:tc>
          <w:tcPr>
            <w:tcW w:w="2990" w:type="dxa"/>
          </w:tcPr>
          <w:p w:rsidR="001573F5" w:rsidRPr="00BA7130" w:rsidRDefault="001573F5" w:rsidP="00BA7130">
            <w:pPr>
              <w:contextualSpacing/>
              <w:jc w:val="both"/>
              <w:rPr>
                <w:rFonts w:ascii="Tahoma" w:hAnsi="Tahoma" w:cs="Tahoma"/>
                <w:i/>
                <w:color w:val="000000"/>
              </w:rPr>
            </w:pPr>
            <w:r w:rsidRPr="00BA7130">
              <w:rPr>
                <w:rFonts w:ascii="Tahoma" w:hAnsi="Tahoma" w:cs="Tahoma"/>
                <w:i/>
                <w:color w:val="000000"/>
              </w:rPr>
              <w:t>15 PUNTOS</w:t>
            </w:r>
          </w:p>
        </w:tc>
      </w:tr>
      <w:tr w:rsidR="001573F5" w:rsidTr="001573F5">
        <w:tc>
          <w:tcPr>
            <w:tcW w:w="2822" w:type="dxa"/>
          </w:tcPr>
          <w:p w:rsidR="001573F5" w:rsidRPr="00BA7130" w:rsidRDefault="001573F5" w:rsidP="00BA7130">
            <w:pPr>
              <w:contextualSpacing/>
              <w:jc w:val="both"/>
              <w:rPr>
                <w:rFonts w:ascii="Tahoma" w:hAnsi="Tahoma" w:cs="Tahoma"/>
                <w:i/>
                <w:color w:val="000000"/>
              </w:rPr>
            </w:pPr>
            <w:r w:rsidRPr="00BA7130">
              <w:rPr>
                <w:rFonts w:ascii="Tahoma" w:hAnsi="Tahoma" w:cs="Tahoma"/>
                <w:i/>
                <w:color w:val="000000"/>
              </w:rPr>
              <w:t>&gt;  8  &lt; 10      AÑOS</w:t>
            </w:r>
          </w:p>
        </w:tc>
        <w:tc>
          <w:tcPr>
            <w:tcW w:w="2990" w:type="dxa"/>
          </w:tcPr>
          <w:p w:rsidR="001573F5" w:rsidRPr="00BA7130" w:rsidRDefault="001573F5" w:rsidP="00BA7130">
            <w:pPr>
              <w:contextualSpacing/>
              <w:jc w:val="both"/>
              <w:rPr>
                <w:rFonts w:ascii="Tahoma" w:hAnsi="Tahoma" w:cs="Tahoma"/>
                <w:i/>
                <w:color w:val="000000"/>
              </w:rPr>
            </w:pPr>
            <w:r w:rsidRPr="00BA7130">
              <w:rPr>
                <w:rFonts w:ascii="Tahoma" w:hAnsi="Tahoma" w:cs="Tahoma"/>
                <w:i/>
                <w:color w:val="000000"/>
              </w:rPr>
              <w:t>10 PUNTOS</w:t>
            </w:r>
          </w:p>
        </w:tc>
      </w:tr>
      <w:tr w:rsidR="001573F5" w:rsidTr="001573F5">
        <w:tc>
          <w:tcPr>
            <w:tcW w:w="2822" w:type="dxa"/>
          </w:tcPr>
          <w:p w:rsidR="001573F5" w:rsidRPr="00BA7130" w:rsidRDefault="001573F5" w:rsidP="00BA7130">
            <w:pPr>
              <w:contextualSpacing/>
              <w:jc w:val="both"/>
              <w:rPr>
                <w:rFonts w:ascii="Tahoma" w:hAnsi="Tahoma" w:cs="Tahoma"/>
                <w:i/>
                <w:color w:val="000000"/>
              </w:rPr>
            </w:pPr>
            <w:r w:rsidRPr="00BA7130">
              <w:rPr>
                <w:rFonts w:ascii="Tahoma" w:hAnsi="Tahoma" w:cs="Tahoma"/>
                <w:i/>
                <w:color w:val="000000"/>
              </w:rPr>
              <w:t>&gt;  4   &lt; 8      AÑOS</w:t>
            </w:r>
          </w:p>
        </w:tc>
        <w:tc>
          <w:tcPr>
            <w:tcW w:w="2990" w:type="dxa"/>
          </w:tcPr>
          <w:p w:rsidR="001573F5" w:rsidRPr="00BA7130" w:rsidRDefault="001573F5" w:rsidP="00BA7130">
            <w:pPr>
              <w:contextualSpacing/>
              <w:jc w:val="both"/>
              <w:rPr>
                <w:rFonts w:ascii="Tahoma" w:hAnsi="Tahoma" w:cs="Tahoma"/>
                <w:i/>
                <w:color w:val="000000"/>
              </w:rPr>
            </w:pPr>
            <w:r w:rsidRPr="00BA7130">
              <w:rPr>
                <w:rFonts w:ascii="Tahoma" w:hAnsi="Tahoma" w:cs="Tahoma"/>
                <w:i/>
                <w:color w:val="000000"/>
              </w:rPr>
              <w:t>8 PUNTOS</w:t>
            </w:r>
          </w:p>
        </w:tc>
      </w:tr>
      <w:tr w:rsidR="001573F5" w:rsidTr="001573F5">
        <w:tc>
          <w:tcPr>
            <w:tcW w:w="2822" w:type="dxa"/>
          </w:tcPr>
          <w:p w:rsidR="001573F5" w:rsidRPr="00BA7130" w:rsidRDefault="001573F5" w:rsidP="00BA7130">
            <w:pPr>
              <w:contextualSpacing/>
              <w:jc w:val="both"/>
              <w:rPr>
                <w:rFonts w:ascii="Tahoma" w:hAnsi="Tahoma" w:cs="Tahoma"/>
                <w:i/>
                <w:color w:val="000000"/>
              </w:rPr>
            </w:pPr>
            <w:r w:rsidRPr="00BA7130">
              <w:rPr>
                <w:rFonts w:ascii="Tahoma" w:hAnsi="Tahoma" w:cs="Tahoma"/>
                <w:i/>
                <w:color w:val="000000"/>
              </w:rPr>
              <w:t>DE 0  A   4      AÑOS</w:t>
            </w:r>
          </w:p>
        </w:tc>
        <w:tc>
          <w:tcPr>
            <w:tcW w:w="2990" w:type="dxa"/>
          </w:tcPr>
          <w:p w:rsidR="001573F5" w:rsidRPr="00BA7130" w:rsidRDefault="001573F5" w:rsidP="00BA7130">
            <w:pPr>
              <w:contextualSpacing/>
              <w:jc w:val="both"/>
              <w:rPr>
                <w:rFonts w:ascii="Tahoma" w:hAnsi="Tahoma" w:cs="Tahoma"/>
                <w:i/>
                <w:color w:val="000000"/>
              </w:rPr>
            </w:pPr>
            <w:r w:rsidRPr="00BA7130">
              <w:rPr>
                <w:rFonts w:ascii="Tahoma" w:hAnsi="Tahoma" w:cs="Tahoma"/>
                <w:i/>
                <w:color w:val="000000"/>
              </w:rPr>
              <w:t>2 PUNTOS</w:t>
            </w:r>
          </w:p>
        </w:tc>
      </w:tr>
    </w:tbl>
    <w:p w:rsidR="001573F5" w:rsidRPr="00BA7130" w:rsidRDefault="001573F5" w:rsidP="00BA7130">
      <w:pPr>
        <w:contextualSpacing/>
        <w:jc w:val="both"/>
        <w:rPr>
          <w:rFonts w:ascii="Tahoma" w:hAnsi="Tahoma" w:cs="Tahoma"/>
          <w:i/>
          <w:color w:val="000000"/>
          <w:sz w:val="22"/>
          <w:szCs w:val="22"/>
        </w:rPr>
      </w:pPr>
    </w:p>
    <w:p w:rsidR="00BA7130" w:rsidRPr="00BA7130" w:rsidRDefault="00BA7130" w:rsidP="00BA7130">
      <w:pPr>
        <w:contextualSpacing/>
        <w:jc w:val="both"/>
        <w:rPr>
          <w:rFonts w:ascii="Tahoma" w:hAnsi="Tahoma" w:cs="Tahoma"/>
          <w:i/>
          <w:color w:val="000000"/>
          <w:sz w:val="22"/>
          <w:szCs w:val="22"/>
        </w:rPr>
      </w:pPr>
      <w:r w:rsidRPr="00BA7130">
        <w:rPr>
          <w:rFonts w:ascii="Tahoma" w:hAnsi="Tahoma" w:cs="Tahoma"/>
          <w:i/>
          <w:color w:val="000000"/>
          <w:sz w:val="22"/>
          <w:szCs w:val="22"/>
        </w:rPr>
        <w:t xml:space="preserve">En caso de presentarse la propuesta a través de Consorcio o Unión Temporal para la calificación del tiempo de experiencia se obtendrá sumando el tiempo desde la fecha de la constitución hasta la fecha del cierre de la presente convocatoria pública de cada uno de los integrantes que conforman dicho Consorcio o Unión Temporal, conforme a la anterior tabla. </w:t>
      </w:r>
    </w:p>
    <w:p w:rsidR="001573F5" w:rsidRDefault="00A833BF" w:rsidP="00A833BF">
      <w:pPr>
        <w:shd w:val="clear" w:color="auto" w:fill="FFFFFF"/>
        <w:spacing w:before="100" w:beforeAutospacing="1" w:after="100" w:afterAutospacing="1"/>
        <w:jc w:val="both"/>
        <w:rPr>
          <w:rFonts w:ascii="Arial" w:hAnsi="Arial" w:cs="Arial"/>
          <w:i/>
          <w:color w:val="000000"/>
          <w:lang w:val="es-CO" w:eastAsia="es-CO"/>
        </w:rPr>
      </w:pPr>
      <w:r w:rsidRPr="00CE1F3C">
        <w:rPr>
          <w:rFonts w:ascii="Arial" w:hAnsi="Arial" w:cs="Arial"/>
          <w:b/>
          <w:bCs/>
          <w:color w:val="000000"/>
          <w:lang w:val="es-CO" w:eastAsia="es-CO"/>
        </w:rPr>
        <w:t>OBSERVACIÓN</w:t>
      </w:r>
      <w:proofErr w:type="gramStart"/>
      <w:r w:rsidRPr="00CE1F3C">
        <w:rPr>
          <w:rFonts w:ascii="Arial" w:hAnsi="Arial" w:cs="Arial"/>
          <w:color w:val="000000"/>
          <w:lang w:val="es-CO" w:eastAsia="es-CO"/>
        </w:rPr>
        <w:t xml:space="preserve">: </w:t>
      </w:r>
      <w:r w:rsidR="001573F5">
        <w:rPr>
          <w:rFonts w:ascii="Arial" w:hAnsi="Arial" w:cs="Arial"/>
          <w:i/>
          <w:color w:val="000000"/>
          <w:lang w:val="es-CO" w:eastAsia="es-CO"/>
        </w:rPr>
        <w:t xml:space="preserve"> Solicitamos</w:t>
      </w:r>
      <w:proofErr w:type="gramEnd"/>
      <w:r w:rsidR="001573F5">
        <w:rPr>
          <w:rFonts w:ascii="Arial" w:hAnsi="Arial" w:cs="Arial"/>
          <w:i/>
          <w:color w:val="000000"/>
          <w:lang w:val="es-CO" w:eastAsia="es-CO"/>
        </w:rPr>
        <w:t xml:space="preserve"> modificar este numeral, que la calificación de 20 puntos  se asigne a empresas con una antigüedad superior a 10 años, ya que consideramos  que es tiempo suficiente  para demostrar su experiencia  e idoneidad en la prestación de servicios, y esto haría concordancia  al pliego donde se exige certificaciones expedidas de contratos ejecutados o en ejecución de los últimos 3 años, por las siguientes razones:</w:t>
      </w:r>
    </w:p>
    <w:p w:rsidR="001573F5" w:rsidRDefault="001573F5" w:rsidP="00A833BF">
      <w:pPr>
        <w:shd w:val="clear" w:color="auto" w:fill="FFFFFF"/>
        <w:spacing w:before="100" w:beforeAutospacing="1" w:after="100" w:afterAutospacing="1"/>
        <w:jc w:val="both"/>
        <w:rPr>
          <w:rFonts w:ascii="Arial" w:hAnsi="Arial" w:cs="Arial"/>
          <w:i/>
          <w:color w:val="000000"/>
          <w:lang w:val="es-CO" w:eastAsia="es-CO"/>
        </w:rPr>
      </w:pPr>
    </w:p>
    <w:p w:rsidR="001573F5" w:rsidRPr="001573F5" w:rsidRDefault="001573F5" w:rsidP="001573F5">
      <w:pPr>
        <w:pStyle w:val="Prrafodelista"/>
        <w:numPr>
          <w:ilvl w:val="0"/>
          <w:numId w:val="3"/>
        </w:numPr>
        <w:shd w:val="clear" w:color="auto" w:fill="FFFFFF"/>
        <w:spacing w:before="100" w:beforeAutospacing="1" w:after="100" w:afterAutospacing="1"/>
        <w:jc w:val="both"/>
        <w:rPr>
          <w:rFonts w:ascii="Verdana" w:hAnsi="Verdana"/>
          <w:color w:val="000000"/>
          <w:sz w:val="18"/>
          <w:szCs w:val="18"/>
          <w:lang w:val="es-CO" w:eastAsia="es-CO"/>
        </w:rPr>
      </w:pPr>
      <w:r>
        <w:rPr>
          <w:rFonts w:ascii="Arial" w:hAnsi="Arial" w:cs="Arial"/>
          <w:i/>
          <w:color w:val="000000"/>
          <w:lang w:val="es-CO" w:eastAsia="es-CO"/>
        </w:rPr>
        <w:lastRenderedPageBreak/>
        <w:t>Teniendo en cuenta el derecho a la igualdad  de participación en licitaciones públicas  para que exista una competencia efectiva, y evitar todo tipo de preferencias o discriminación que ofrezca o perjudique  a unos participantes en detrimento  o beneficio de otros.</w:t>
      </w:r>
    </w:p>
    <w:p w:rsidR="00D04CDF" w:rsidRPr="00D04CDF" w:rsidRDefault="001573F5" w:rsidP="001573F5">
      <w:pPr>
        <w:pStyle w:val="Prrafodelista"/>
        <w:numPr>
          <w:ilvl w:val="0"/>
          <w:numId w:val="3"/>
        </w:numPr>
        <w:shd w:val="clear" w:color="auto" w:fill="FFFFFF"/>
        <w:spacing w:before="100" w:beforeAutospacing="1" w:after="100" w:afterAutospacing="1"/>
        <w:jc w:val="both"/>
        <w:rPr>
          <w:rFonts w:ascii="Verdana" w:hAnsi="Verdana"/>
          <w:color w:val="000000"/>
          <w:sz w:val="18"/>
          <w:szCs w:val="18"/>
          <w:lang w:val="es-CO" w:eastAsia="es-CO"/>
        </w:rPr>
      </w:pPr>
      <w:r w:rsidRPr="001573F5">
        <w:rPr>
          <w:rFonts w:ascii="Arial" w:hAnsi="Arial" w:cs="Arial"/>
          <w:i/>
          <w:color w:val="000000"/>
          <w:lang w:val="es-CO" w:eastAsia="es-CO"/>
        </w:rPr>
        <w:t>Que este tipo de contrataciones no son com</w:t>
      </w:r>
      <w:r>
        <w:rPr>
          <w:rFonts w:ascii="Arial" w:hAnsi="Arial" w:cs="Arial"/>
          <w:i/>
          <w:color w:val="000000"/>
          <w:lang w:val="es-CO" w:eastAsia="es-CO"/>
        </w:rPr>
        <w:t xml:space="preserve">unes en el Departamento del Cauca y los </w:t>
      </w:r>
      <w:r w:rsidR="00D04CDF">
        <w:rPr>
          <w:rFonts w:ascii="Arial" w:hAnsi="Arial" w:cs="Arial"/>
          <w:i/>
          <w:color w:val="000000"/>
          <w:lang w:val="es-CO" w:eastAsia="es-CO"/>
        </w:rPr>
        <w:t>contratos que se desarrollan  son de menor cuantía.</w:t>
      </w:r>
    </w:p>
    <w:p w:rsidR="00D04CDF" w:rsidRPr="00D04CDF" w:rsidRDefault="00D04CDF" w:rsidP="001573F5">
      <w:pPr>
        <w:pStyle w:val="Prrafodelista"/>
        <w:numPr>
          <w:ilvl w:val="0"/>
          <w:numId w:val="3"/>
        </w:numPr>
        <w:shd w:val="clear" w:color="auto" w:fill="FFFFFF"/>
        <w:spacing w:before="100" w:beforeAutospacing="1" w:after="100" w:afterAutospacing="1"/>
        <w:jc w:val="both"/>
        <w:rPr>
          <w:rFonts w:ascii="Verdana" w:hAnsi="Verdana"/>
          <w:color w:val="000000"/>
          <w:sz w:val="18"/>
          <w:szCs w:val="18"/>
          <w:lang w:val="es-CO" w:eastAsia="es-CO"/>
        </w:rPr>
      </w:pPr>
      <w:r>
        <w:rPr>
          <w:rFonts w:ascii="Arial" w:hAnsi="Arial" w:cs="Arial"/>
          <w:i/>
          <w:color w:val="000000"/>
          <w:lang w:val="es-CO" w:eastAsia="es-CO"/>
        </w:rPr>
        <w:t>Dar oportunidad de participación  a pequeñas  y medianas empresas del Departamento del Cauca</w:t>
      </w:r>
    </w:p>
    <w:p w:rsidR="00D04CDF" w:rsidRPr="00D04CDF" w:rsidRDefault="00D04CDF" w:rsidP="001573F5">
      <w:pPr>
        <w:pStyle w:val="Prrafodelista"/>
        <w:numPr>
          <w:ilvl w:val="0"/>
          <w:numId w:val="3"/>
        </w:numPr>
        <w:shd w:val="clear" w:color="auto" w:fill="FFFFFF"/>
        <w:spacing w:before="100" w:beforeAutospacing="1" w:after="100" w:afterAutospacing="1"/>
        <w:jc w:val="both"/>
        <w:rPr>
          <w:rFonts w:ascii="Verdana" w:hAnsi="Verdana"/>
          <w:color w:val="000000"/>
          <w:sz w:val="18"/>
          <w:szCs w:val="18"/>
          <w:lang w:val="es-CO" w:eastAsia="es-CO"/>
        </w:rPr>
      </w:pPr>
      <w:r>
        <w:rPr>
          <w:rFonts w:ascii="Arial" w:hAnsi="Arial" w:cs="Arial"/>
          <w:i/>
          <w:color w:val="000000"/>
          <w:lang w:val="es-CO" w:eastAsia="es-CO"/>
        </w:rPr>
        <w:t>Contribuir a disminuir los altos índices de desempleo y subdesarrollo del Departamento del Cauca.</w:t>
      </w:r>
    </w:p>
    <w:p w:rsidR="00762619" w:rsidRDefault="00A833BF" w:rsidP="00A833BF">
      <w:pPr>
        <w:contextualSpacing/>
        <w:jc w:val="both"/>
        <w:rPr>
          <w:rFonts w:ascii="Arial" w:hAnsi="Arial" w:cs="Arial"/>
          <w:b/>
          <w:color w:val="000000"/>
          <w:lang w:val="es-CO" w:eastAsia="es-CO"/>
        </w:rPr>
      </w:pPr>
      <w:r w:rsidRPr="00CE1F3C">
        <w:rPr>
          <w:rFonts w:ascii="Arial" w:hAnsi="Arial" w:cs="Arial"/>
          <w:b/>
          <w:color w:val="000000"/>
          <w:lang w:val="es-CO" w:eastAsia="es-CO"/>
        </w:rPr>
        <w:t>RESPUESTA</w:t>
      </w:r>
      <w:r w:rsidR="00762619">
        <w:rPr>
          <w:rFonts w:ascii="Arial" w:hAnsi="Arial" w:cs="Arial"/>
          <w:b/>
          <w:color w:val="000000"/>
          <w:lang w:val="es-CO" w:eastAsia="es-CO"/>
        </w:rPr>
        <w:t>:</w:t>
      </w:r>
    </w:p>
    <w:p w:rsidR="004B54E7" w:rsidRDefault="004B54E7" w:rsidP="00A833BF">
      <w:pPr>
        <w:contextualSpacing/>
        <w:jc w:val="both"/>
        <w:rPr>
          <w:rFonts w:ascii="Arial" w:hAnsi="Arial" w:cs="Arial"/>
          <w:b/>
          <w:color w:val="000000"/>
          <w:lang w:val="es-CO" w:eastAsia="es-CO"/>
        </w:rPr>
      </w:pPr>
    </w:p>
    <w:p w:rsidR="00A833BF" w:rsidRDefault="00762619" w:rsidP="00A833BF">
      <w:pPr>
        <w:contextualSpacing/>
        <w:jc w:val="both"/>
        <w:rPr>
          <w:rFonts w:ascii="Arial" w:hAnsi="Arial" w:cs="Arial"/>
          <w:color w:val="000000"/>
        </w:rPr>
      </w:pPr>
      <w:r>
        <w:rPr>
          <w:rFonts w:ascii="Arial" w:hAnsi="Arial" w:cs="Arial"/>
          <w:b/>
          <w:color w:val="000000"/>
          <w:lang w:val="es-CO" w:eastAsia="es-CO"/>
        </w:rPr>
        <w:t xml:space="preserve"> ITEM </w:t>
      </w:r>
      <w:r w:rsidR="009D7F55">
        <w:rPr>
          <w:rFonts w:ascii="Arial" w:hAnsi="Arial" w:cs="Arial"/>
          <w:b/>
          <w:color w:val="000000"/>
          <w:lang w:val="es-CO" w:eastAsia="es-CO"/>
        </w:rPr>
        <w:t>1:</w:t>
      </w:r>
      <w:r w:rsidR="00A833BF">
        <w:rPr>
          <w:rFonts w:ascii="Arial" w:hAnsi="Arial" w:cs="Arial"/>
          <w:color w:val="000000"/>
          <w:lang w:val="es-CO" w:eastAsia="es-CO"/>
        </w:rPr>
        <w:t xml:space="preserve"> </w:t>
      </w:r>
      <w:r w:rsidR="00A833BF">
        <w:rPr>
          <w:rFonts w:ascii="Arial" w:hAnsi="Arial" w:cs="Arial"/>
          <w:color w:val="000000"/>
        </w:rPr>
        <w:t xml:space="preserve">Se aclara que en ningún momento se ha vulnerado el derecho </w:t>
      </w:r>
      <w:r w:rsidR="00A833BF" w:rsidRPr="00DC48FE">
        <w:rPr>
          <w:rFonts w:ascii="Arial" w:hAnsi="Arial" w:cs="Arial"/>
          <w:color w:val="000000"/>
        </w:rPr>
        <w:t>de Igualdad de Participación en licitaciones públicas</w:t>
      </w:r>
      <w:r w:rsidR="00A833BF">
        <w:rPr>
          <w:rFonts w:ascii="Arial" w:hAnsi="Arial" w:cs="Arial"/>
          <w:color w:val="000000"/>
        </w:rPr>
        <w:t>, por el contrario, dar preferencia a alguna empresa o empresas por el hecho de ser de la región si vulneraría claramente los principios de igualdad y transparencia consagrados en el Acuerdo 064 de 2008 o Estatuto de Contratación de la Universidad del Cauca.</w:t>
      </w:r>
    </w:p>
    <w:p w:rsidR="00A833BF" w:rsidRPr="00DC48FE" w:rsidRDefault="00A833BF" w:rsidP="00A833BF">
      <w:pPr>
        <w:contextualSpacing/>
        <w:jc w:val="both"/>
        <w:rPr>
          <w:rFonts w:ascii="Arial" w:hAnsi="Arial" w:cs="Arial"/>
          <w:color w:val="000000"/>
        </w:rPr>
      </w:pPr>
    </w:p>
    <w:p w:rsidR="00A833BF" w:rsidRDefault="00762619" w:rsidP="00A833BF">
      <w:pPr>
        <w:contextualSpacing/>
        <w:jc w:val="both"/>
        <w:rPr>
          <w:rFonts w:ascii="Arial" w:hAnsi="Arial" w:cs="Arial"/>
          <w:color w:val="000000"/>
          <w:lang w:val="es-CO" w:eastAsia="es-CO"/>
        </w:rPr>
      </w:pPr>
      <w:r w:rsidRPr="00762619">
        <w:rPr>
          <w:rFonts w:ascii="Arial" w:hAnsi="Arial" w:cs="Arial"/>
          <w:b/>
          <w:color w:val="000000"/>
          <w:lang w:val="es-CO" w:eastAsia="es-CO"/>
        </w:rPr>
        <w:t>ITEM 2</w:t>
      </w:r>
      <w:r>
        <w:rPr>
          <w:rFonts w:ascii="Arial" w:hAnsi="Arial" w:cs="Arial"/>
          <w:color w:val="000000"/>
          <w:lang w:val="es-CO" w:eastAsia="es-CO"/>
        </w:rPr>
        <w:t xml:space="preserve">: </w:t>
      </w:r>
      <w:r w:rsidR="00C04030">
        <w:rPr>
          <w:rFonts w:ascii="Arial" w:hAnsi="Arial" w:cs="Arial"/>
          <w:color w:val="000000"/>
          <w:lang w:val="es-CO" w:eastAsia="es-CO"/>
        </w:rPr>
        <w:t>T</w:t>
      </w:r>
      <w:r w:rsidR="00A833BF">
        <w:rPr>
          <w:rFonts w:ascii="Arial" w:hAnsi="Arial" w:cs="Arial"/>
          <w:color w:val="000000"/>
          <w:lang w:val="es-CO" w:eastAsia="es-CO"/>
        </w:rPr>
        <w:t xml:space="preserve">eniendo en cuenta el principio de igualdad, se aclara que los contratos ó certificaciones presentadas pueden haber sido celebrados en cualquier lugar; dando la posibilidad de </w:t>
      </w:r>
      <w:r w:rsidR="00C730F7">
        <w:rPr>
          <w:rFonts w:ascii="Arial" w:hAnsi="Arial" w:cs="Arial"/>
          <w:color w:val="000000"/>
          <w:lang w:val="es-CO" w:eastAsia="es-CO"/>
        </w:rPr>
        <w:t>asistencia</w:t>
      </w:r>
      <w:r w:rsidR="00A833BF">
        <w:rPr>
          <w:rFonts w:ascii="Arial" w:hAnsi="Arial" w:cs="Arial"/>
          <w:color w:val="000000"/>
          <w:lang w:val="es-CO" w:eastAsia="es-CO"/>
        </w:rPr>
        <w:t xml:space="preserve"> a cualquier empresa nacional o extranjera, de que participe abiertamente en la presente licitación.</w:t>
      </w:r>
    </w:p>
    <w:p w:rsidR="00A833BF" w:rsidRDefault="00A833BF" w:rsidP="00A833BF">
      <w:pPr>
        <w:contextualSpacing/>
        <w:jc w:val="both"/>
        <w:rPr>
          <w:rFonts w:ascii="Arial" w:hAnsi="Arial" w:cs="Arial"/>
          <w:color w:val="000000"/>
          <w:lang w:val="es-CO" w:eastAsia="es-CO"/>
        </w:rPr>
      </w:pPr>
    </w:p>
    <w:p w:rsidR="00C04030" w:rsidRDefault="00762619" w:rsidP="00A833BF">
      <w:pPr>
        <w:contextualSpacing/>
        <w:jc w:val="both"/>
        <w:rPr>
          <w:rFonts w:ascii="Arial" w:hAnsi="Arial" w:cs="Arial"/>
          <w:color w:val="000000"/>
          <w:lang w:val="es-CO" w:eastAsia="es-CO"/>
        </w:rPr>
      </w:pPr>
      <w:r w:rsidRPr="00762619">
        <w:rPr>
          <w:rFonts w:ascii="Arial" w:hAnsi="Arial" w:cs="Arial"/>
          <w:b/>
          <w:color w:val="000000"/>
          <w:lang w:val="es-CO" w:eastAsia="es-CO"/>
        </w:rPr>
        <w:t>ITEM 3</w:t>
      </w:r>
      <w:r>
        <w:rPr>
          <w:rFonts w:ascii="Arial" w:hAnsi="Arial" w:cs="Arial"/>
          <w:color w:val="000000"/>
          <w:lang w:val="es-CO" w:eastAsia="es-CO"/>
        </w:rPr>
        <w:t xml:space="preserve">: </w:t>
      </w:r>
      <w:r w:rsidR="00FA4745">
        <w:rPr>
          <w:rFonts w:ascii="Arial" w:hAnsi="Arial" w:cs="Arial"/>
          <w:color w:val="000000"/>
          <w:lang w:val="es-CO" w:eastAsia="es-CO"/>
        </w:rPr>
        <w:t xml:space="preserve">Los pliegos de condiciones han previsto la posibilidad de presentar oferta a través de consorcio o uniones temporales, con el fin de garantizar el derecho de participación de las pequeñas </w:t>
      </w:r>
      <w:r w:rsidR="009F2979">
        <w:rPr>
          <w:rFonts w:ascii="Arial" w:hAnsi="Arial" w:cs="Arial"/>
          <w:color w:val="000000"/>
          <w:lang w:val="es-CO" w:eastAsia="es-CO"/>
        </w:rPr>
        <w:t>y medianas empresas</w:t>
      </w:r>
      <w:r w:rsidR="00217B7B">
        <w:rPr>
          <w:rFonts w:ascii="Arial" w:hAnsi="Arial" w:cs="Arial"/>
          <w:color w:val="000000"/>
          <w:lang w:val="es-CO" w:eastAsia="es-CO"/>
        </w:rPr>
        <w:t>.</w:t>
      </w:r>
    </w:p>
    <w:p w:rsidR="00217B7B" w:rsidRDefault="00217B7B" w:rsidP="00A833BF">
      <w:pPr>
        <w:contextualSpacing/>
        <w:jc w:val="both"/>
        <w:rPr>
          <w:rFonts w:ascii="Arial" w:hAnsi="Arial" w:cs="Arial"/>
          <w:color w:val="000000"/>
          <w:lang w:val="es-CO" w:eastAsia="es-CO"/>
        </w:rPr>
      </w:pPr>
    </w:p>
    <w:p w:rsidR="00A833BF" w:rsidRPr="00CE1F3C" w:rsidRDefault="00217B7B" w:rsidP="003E52AF">
      <w:pPr>
        <w:contextualSpacing/>
        <w:jc w:val="both"/>
        <w:rPr>
          <w:rFonts w:ascii="Arial" w:hAnsi="Arial" w:cs="Arial"/>
          <w:b/>
          <w:color w:val="000000"/>
        </w:rPr>
      </w:pPr>
      <w:r w:rsidRPr="00217B7B">
        <w:rPr>
          <w:rFonts w:ascii="Arial" w:hAnsi="Arial" w:cs="Arial"/>
          <w:b/>
          <w:color w:val="000000"/>
          <w:lang w:val="es-CO" w:eastAsia="es-CO"/>
        </w:rPr>
        <w:t>ITEM 4</w:t>
      </w:r>
      <w:r>
        <w:rPr>
          <w:rFonts w:ascii="Arial" w:hAnsi="Arial" w:cs="Arial"/>
          <w:color w:val="000000"/>
          <w:lang w:val="es-CO" w:eastAsia="es-CO"/>
        </w:rPr>
        <w:t xml:space="preserve">: Por la experiencia que tiene la Universidad, independientemente del contratista que ejecute la actividad, los trabajadores que acompañan el cumplimiento del objeto contractual, generalmente son los mismos,  por tanto la Universidad en ningún momento busca atentar contra el empleo y desarrollo del Departamento del Cauca, de la misma manera la Universidad no puede cerrar sus procesos a la región, pues debe garantizar el principio de </w:t>
      </w:r>
      <w:r w:rsidR="003E52AF">
        <w:rPr>
          <w:rFonts w:ascii="Arial" w:hAnsi="Arial" w:cs="Arial"/>
          <w:color w:val="000000"/>
          <w:lang w:val="es-CO" w:eastAsia="es-CO"/>
        </w:rPr>
        <w:t>participación, igualdad</w:t>
      </w:r>
      <w:r>
        <w:rPr>
          <w:rFonts w:ascii="Arial" w:hAnsi="Arial" w:cs="Arial"/>
          <w:color w:val="000000"/>
          <w:lang w:val="es-CO" w:eastAsia="es-CO"/>
        </w:rPr>
        <w:t xml:space="preserve"> </w:t>
      </w:r>
      <w:r w:rsidR="003E52AF">
        <w:rPr>
          <w:rFonts w:ascii="Arial" w:hAnsi="Arial" w:cs="Arial"/>
          <w:color w:val="000000"/>
          <w:lang w:val="es-CO" w:eastAsia="es-CO"/>
        </w:rPr>
        <w:t>y publicidad de sus procesos.</w:t>
      </w:r>
    </w:p>
    <w:p w:rsidR="00A833BF" w:rsidRDefault="00A833BF" w:rsidP="00A833BF">
      <w:pPr>
        <w:contextualSpacing/>
        <w:jc w:val="both"/>
        <w:rPr>
          <w:rFonts w:ascii="Arial" w:hAnsi="Arial" w:cs="Arial"/>
          <w:b/>
          <w:color w:val="000000"/>
        </w:rPr>
      </w:pPr>
    </w:p>
    <w:p w:rsidR="004B54E7" w:rsidRDefault="004B54E7" w:rsidP="00A833BF">
      <w:pPr>
        <w:contextualSpacing/>
        <w:jc w:val="both"/>
        <w:rPr>
          <w:rFonts w:ascii="Arial" w:hAnsi="Arial" w:cs="Arial"/>
          <w:color w:val="000000"/>
        </w:rPr>
      </w:pPr>
      <w:r>
        <w:rPr>
          <w:rFonts w:ascii="Arial" w:hAnsi="Arial" w:cs="Arial"/>
          <w:color w:val="000000"/>
        </w:rPr>
        <w:t>Se niega la solicitud.</w:t>
      </w:r>
    </w:p>
    <w:p w:rsidR="003E52AF" w:rsidRDefault="003E52AF" w:rsidP="00A833BF">
      <w:pPr>
        <w:contextualSpacing/>
        <w:jc w:val="both"/>
        <w:rPr>
          <w:rFonts w:ascii="Arial" w:hAnsi="Arial" w:cs="Arial"/>
          <w:color w:val="000000"/>
        </w:rPr>
      </w:pPr>
    </w:p>
    <w:p w:rsidR="003E52AF" w:rsidRDefault="003E52AF" w:rsidP="00A833BF">
      <w:pPr>
        <w:contextualSpacing/>
        <w:jc w:val="both"/>
        <w:rPr>
          <w:rFonts w:ascii="Arial" w:hAnsi="Arial" w:cs="Arial"/>
          <w:color w:val="000000"/>
        </w:rPr>
      </w:pPr>
      <w:r>
        <w:rPr>
          <w:rFonts w:ascii="Arial" w:hAnsi="Arial" w:cs="Arial"/>
          <w:color w:val="000000"/>
        </w:rPr>
        <w:t>Atentamente</w:t>
      </w:r>
    </w:p>
    <w:p w:rsidR="003E52AF" w:rsidRDefault="003E52AF" w:rsidP="00A833BF">
      <w:pPr>
        <w:contextualSpacing/>
        <w:jc w:val="both"/>
        <w:rPr>
          <w:rFonts w:ascii="Arial" w:hAnsi="Arial" w:cs="Arial"/>
          <w:color w:val="000000"/>
        </w:rPr>
      </w:pPr>
    </w:p>
    <w:p w:rsidR="00D30451" w:rsidRDefault="00D30451" w:rsidP="00A833BF">
      <w:pPr>
        <w:contextualSpacing/>
        <w:jc w:val="both"/>
        <w:rPr>
          <w:rFonts w:ascii="Arial" w:hAnsi="Arial" w:cs="Arial"/>
          <w:color w:val="000000"/>
        </w:rPr>
      </w:pPr>
    </w:p>
    <w:p w:rsidR="003E52AF" w:rsidRDefault="003E52AF" w:rsidP="00A833BF">
      <w:pPr>
        <w:contextualSpacing/>
        <w:jc w:val="both"/>
        <w:rPr>
          <w:rFonts w:ascii="Arial" w:hAnsi="Arial" w:cs="Arial"/>
          <w:color w:val="000000"/>
        </w:rPr>
      </w:pPr>
      <w:r>
        <w:rPr>
          <w:rFonts w:ascii="Arial" w:hAnsi="Arial" w:cs="Arial"/>
          <w:color w:val="000000"/>
        </w:rPr>
        <w:t>Luis Carlos Ayala Caldas</w:t>
      </w:r>
    </w:p>
    <w:p w:rsidR="003E52AF" w:rsidRPr="004B54E7" w:rsidRDefault="003E52AF" w:rsidP="00A833BF">
      <w:pPr>
        <w:contextualSpacing/>
        <w:jc w:val="both"/>
        <w:rPr>
          <w:rFonts w:ascii="Arial" w:hAnsi="Arial" w:cs="Arial"/>
          <w:color w:val="000000"/>
        </w:rPr>
      </w:pPr>
      <w:r>
        <w:rPr>
          <w:rFonts w:ascii="Arial" w:hAnsi="Arial" w:cs="Arial"/>
          <w:color w:val="000000"/>
        </w:rPr>
        <w:t>Presidente</w:t>
      </w:r>
    </w:p>
    <w:sectPr w:rsidR="003E52AF" w:rsidRPr="004B54E7" w:rsidSect="007D26DB">
      <w:pgSz w:w="12242" w:h="15842" w:code="1"/>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017C4"/>
    <w:multiLevelType w:val="hybridMultilevel"/>
    <w:tmpl w:val="4D5A0E6A"/>
    <w:lvl w:ilvl="0" w:tplc="1D7C7F6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DDD5C28"/>
    <w:multiLevelType w:val="hybridMultilevel"/>
    <w:tmpl w:val="67F0DA40"/>
    <w:lvl w:ilvl="0" w:tplc="3AA65C40">
      <w:start w:val="1"/>
      <w:numFmt w:val="decimal"/>
      <w:lvlText w:val="%1."/>
      <w:lvlJc w:val="left"/>
      <w:pPr>
        <w:ind w:left="960" w:hanging="360"/>
      </w:pPr>
      <w:rPr>
        <w:rFonts w:ascii="Arial" w:hAnsi="Arial" w:cs="Arial" w:hint="default"/>
        <w:sz w:val="24"/>
      </w:rPr>
    </w:lvl>
    <w:lvl w:ilvl="1" w:tplc="240A0019" w:tentative="1">
      <w:start w:val="1"/>
      <w:numFmt w:val="lowerLetter"/>
      <w:lvlText w:val="%2."/>
      <w:lvlJc w:val="left"/>
      <w:pPr>
        <w:ind w:left="1680" w:hanging="360"/>
      </w:pPr>
    </w:lvl>
    <w:lvl w:ilvl="2" w:tplc="240A001B" w:tentative="1">
      <w:start w:val="1"/>
      <w:numFmt w:val="lowerRoman"/>
      <w:lvlText w:val="%3."/>
      <w:lvlJc w:val="right"/>
      <w:pPr>
        <w:ind w:left="2400" w:hanging="180"/>
      </w:pPr>
    </w:lvl>
    <w:lvl w:ilvl="3" w:tplc="240A000F" w:tentative="1">
      <w:start w:val="1"/>
      <w:numFmt w:val="decimal"/>
      <w:lvlText w:val="%4."/>
      <w:lvlJc w:val="left"/>
      <w:pPr>
        <w:ind w:left="3120" w:hanging="360"/>
      </w:pPr>
    </w:lvl>
    <w:lvl w:ilvl="4" w:tplc="240A0019" w:tentative="1">
      <w:start w:val="1"/>
      <w:numFmt w:val="lowerLetter"/>
      <w:lvlText w:val="%5."/>
      <w:lvlJc w:val="left"/>
      <w:pPr>
        <w:ind w:left="3840" w:hanging="360"/>
      </w:pPr>
    </w:lvl>
    <w:lvl w:ilvl="5" w:tplc="240A001B" w:tentative="1">
      <w:start w:val="1"/>
      <w:numFmt w:val="lowerRoman"/>
      <w:lvlText w:val="%6."/>
      <w:lvlJc w:val="right"/>
      <w:pPr>
        <w:ind w:left="4560" w:hanging="180"/>
      </w:pPr>
    </w:lvl>
    <w:lvl w:ilvl="6" w:tplc="240A000F" w:tentative="1">
      <w:start w:val="1"/>
      <w:numFmt w:val="decimal"/>
      <w:lvlText w:val="%7."/>
      <w:lvlJc w:val="left"/>
      <w:pPr>
        <w:ind w:left="5280" w:hanging="360"/>
      </w:pPr>
    </w:lvl>
    <w:lvl w:ilvl="7" w:tplc="240A0019" w:tentative="1">
      <w:start w:val="1"/>
      <w:numFmt w:val="lowerLetter"/>
      <w:lvlText w:val="%8."/>
      <w:lvlJc w:val="left"/>
      <w:pPr>
        <w:ind w:left="6000" w:hanging="360"/>
      </w:pPr>
    </w:lvl>
    <w:lvl w:ilvl="8" w:tplc="240A001B" w:tentative="1">
      <w:start w:val="1"/>
      <w:numFmt w:val="lowerRoman"/>
      <w:lvlText w:val="%9."/>
      <w:lvlJc w:val="right"/>
      <w:pPr>
        <w:ind w:left="6720" w:hanging="180"/>
      </w:pPr>
    </w:lvl>
  </w:abstractNum>
  <w:abstractNum w:abstractNumId="2">
    <w:nsid w:val="657F0336"/>
    <w:multiLevelType w:val="hybridMultilevel"/>
    <w:tmpl w:val="55F645E2"/>
    <w:lvl w:ilvl="0" w:tplc="29B42956">
      <w:start w:val="1"/>
      <w:numFmt w:val="decimal"/>
      <w:lvlText w:val="%1."/>
      <w:lvlJc w:val="left"/>
      <w:pPr>
        <w:ind w:left="720" w:hanging="360"/>
      </w:pPr>
      <w:rPr>
        <w:rFonts w:ascii="Arial" w:hAnsi="Arial" w:cs="Arial"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33BF"/>
    <w:rsid w:val="00102E6B"/>
    <w:rsid w:val="001573F5"/>
    <w:rsid w:val="00217B7B"/>
    <w:rsid w:val="00320B58"/>
    <w:rsid w:val="003E52AF"/>
    <w:rsid w:val="004B54E7"/>
    <w:rsid w:val="00530DCC"/>
    <w:rsid w:val="00550567"/>
    <w:rsid w:val="00762619"/>
    <w:rsid w:val="009D3878"/>
    <w:rsid w:val="009D7F55"/>
    <w:rsid w:val="009F2979"/>
    <w:rsid w:val="00A52EF7"/>
    <w:rsid w:val="00A66216"/>
    <w:rsid w:val="00A833BF"/>
    <w:rsid w:val="00AB05C0"/>
    <w:rsid w:val="00B12D2F"/>
    <w:rsid w:val="00BA7130"/>
    <w:rsid w:val="00C003A0"/>
    <w:rsid w:val="00C04030"/>
    <w:rsid w:val="00C16B83"/>
    <w:rsid w:val="00C730F7"/>
    <w:rsid w:val="00CA491D"/>
    <w:rsid w:val="00CB799F"/>
    <w:rsid w:val="00CD1D83"/>
    <w:rsid w:val="00CE761E"/>
    <w:rsid w:val="00D04CDF"/>
    <w:rsid w:val="00D30451"/>
    <w:rsid w:val="00D55F1C"/>
    <w:rsid w:val="00E31B67"/>
    <w:rsid w:val="00EF76A4"/>
    <w:rsid w:val="00FA47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B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833BF"/>
    <w:pPr>
      <w:tabs>
        <w:tab w:val="center" w:pos="4252"/>
        <w:tab w:val="right" w:pos="8504"/>
      </w:tabs>
    </w:pPr>
  </w:style>
  <w:style w:type="character" w:customStyle="1" w:styleId="EncabezadoCar">
    <w:name w:val="Encabezado Car"/>
    <w:basedOn w:val="Fuentedeprrafopredeter"/>
    <w:link w:val="Encabezado"/>
    <w:rsid w:val="00A833BF"/>
    <w:rPr>
      <w:rFonts w:ascii="Times New Roman" w:eastAsia="Times New Roman" w:hAnsi="Times New Roman" w:cs="Times New Roman"/>
      <w:sz w:val="24"/>
      <w:szCs w:val="24"/>
    </w:rPr>
  </w:style>
  <w:style w:type="character" w:customStyle="1" w:styleId="apple-style-span">
    <w:name w:val="apple-style-span"/>
    <w:basedOn w:val="Fuentedeprrafopredeter"/>
    <w:rsid w:val="00A833BF"/>
  </w:style>
  <w:style w:type="paragraph" w:styleId="Textoindependiente">
    <w:name w:val="Body Text"/>
    <w:aliases w:val="Subsection Body Text,TextindepT2,bt,body text"/>
    <w:basedOn w:val="Normal"/>
    <w:link w:val="TextoindependienteCar"/>
    <w:rsid w:val="00A833BF"/>
    <w:pPr>
      <w:suppressAutoHyphens/>
      <w:autoSpaceDE w:val="0"/>
      <w:jc w:val="both"/>
    </w:pPr>
    <w:rPr>
      <w:rFonts w:ascii="Arial" w:hAnsi="Arial"/>
      <w:sz w:val="20"/>
      <w:szCs w:val="20"/>
      <w:lang w:eastAsia="ar-SA"/>
    </w:rPr>
  </w:style>
  <w:style w:type="character" w:customStyle="1" w:styleId="TextoindependienteCar">
    <w:name w:val="Texto independiente Car"/>
    <w:aliases w:val="Subsection Body Text Car,TextindepT2 Car,bt Car,body text Car"/>
    <w:basedOn w:val="Fuentedeprrafopredeter"/>
    <w:link w:val="Textoindependiente"/>
    <w:rsid w:val="00A833BF"/>
    <w:rPr>
      <w:rFonts w:ascii="Arial" w:eastAsia="Times New Roman" w:hAnsi="Arial" w:cs="Times New Roman"/>
      <w:sz w:val="20"/>
      <w:szCs w:val="20"/>
      <w:lang w:eastAsia="ar-SA"/>
    </w:rPr>
  </w:style>
  <w:style w:type="paragraph" w:styleId="Textodeglobo">
    <w:name w:val="Balloon Text"/>
    <w:basedOn w:val="Normal"/>
    <w:link w:val="TextodegloboCar"/>
    <w:uiPriority w:val="99"/>
    <w:semiHidden/>
    <w:unhideWhenUsed/>
    <w:rsid w:val="00A833BF"/>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3BF"/>
    <w:rPr>
      <w:rFonts w:ascii="Tahoma" w:eastAsia="Times New Roman" w:hAnsi="Tahoma" w:cs="Tahoma"/>
      <w:sz w:val="16"/>
      <w:szCs w:val="16"/>
      <w:lang w:eastAsia="es-ES"/>
    </w:rPr>
  </w:style>
  <w:style w:type="table" w:styleId="Tablaconcuadrcula">
    <w:name w:val="Table Grid"/>
    <w:basedOn w:val="Tablanormal"/>
    <w:uiPriority w:val="59"/>
    <w:rsid w:val="00157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573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2013-02-19T17:25:00Z</cp:lastPrinted>
  <dcterms:created xsi:type="dcterms:W3CDTF">2013-02-19T23:01:00Z</dcterms:created>
  <dcterms:modified xsi:type="dcterms:W3CDTF">2013-02-19T23:01:00Z</dcterms:modified>
</cp:coreProperties>
</file>